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Дело №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196</w:t>
      </w:r>
      <w:r>
        <w:rPr>
          <w:rFonts w:ascii="Times New Roman" w:eastAsia="Times New Roman" w:hAnsi="Times New Roman" w:cs="Times New Roman"/>
          <w:sz w:val="20"/>
          <w:szCs w:val="20"/>
        </w:rPr>
        <w:t>-2610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25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адресу: ХМАО - Югра, г. Сург</w:t>
      </w:r>
      <w:r>
        <w:rPr>
          <w:rFonts w:ascii="Times New Roman" w:eastAsia="Times New Roman" w:hAnsi="Times New Roman" w:cs="Times New Roman"/>
          <w:sz w:val="27"/>
          <w:szCs w:val="27"/>
        </w:rPr>
        <w:t>ут, ул. Гагарина, д. 9, каб. 2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материалы дела об административном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нарушении, предусмотренном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Заманова Халига Тофиг оглы, </w:t>
      </w:r>
      <w:r>
        <w:rPr>
          <w:rStyle w:val="cat-UserDefinedgrp-40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widowControl w:val="0"/>
        <w:tabs>
          <w:tab w:val="left" w:pos="783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31rplc-1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земельном участке с кадастровым номером </w:t>
      </w:r>
      <w:r>
        <w:rPr>
          <w:rStyle w:val="cat-UserDefinedgrp-41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сформированном под многоквартирный дом по адресу: </w:t>
      </w:r>
      <w:r>
        <w:rPr>
          <w:rStyle w:val="cat-UserDefinedgrp-42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установлен факт правонарушения, выразившийся в невыполнении требований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предписания муниципального жилищного инспектора отдела муниципального жилищного контроля контрольного управления Администрации города Сургута от </w:t>
      </w:r>
      <w:r>
        <w:rPr>
          <w:rFonts w:ascii="Times New Roman" w:eastAsia="Times New Roman" w:hAnsi="Times New Roman" w:cs="Times New Roman"/>
          <w:sz w:val="27"/>
          <w:szCs w:val="27"/>
        </w:rPr>
        <w:t>05.09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 1</w:t>
      </w:r>
      <w:r>
        <w:rPr>
          <w:rFonts w:ascii="Times New Roman" w:eastAsia="Times New Roman" w:hAnsi="Times New Roman" w:cs="Times New Roman"/>
          <w:sz w:val="27"/>
          <w:szCs w:val="27"/>
        </w:rPr>
        <w:t>87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необходимости Заманову Х.Т. 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>27.11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(включительно) устранить допущенное нарушение, а именно: демонтировать некапитальное строение (сооружение) в виде нестационарного торгового объекта </w:t>
      </w:r>
      <w:r>
        <w:rPr>
          <w:rStyle w:val="cat-UserDefinedgrp-43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территории земельного участка с кадастровым номером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сформированном под многоквартирный дом по адресу: </w:t>
      </w:r>
      <w:r>
        <w:rPr>
          <w:rStyle w:val="cat-UserDefinedgrp-42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требования, предусмотренные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16 Правил благоустройства территории города Сургута, утверждённых решением Думы города от 26.12.2017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 206-VI ДГ «О Правилах благоустройства территории города Сургута», согласно которым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департаментом архитектуры и градостроительства Администрации города эскизного проекта некапитального строения, сооружения в порядке,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становленном муниципальным правовым актом. Требования к разработке эскизного проекта некапитального строения, сооружения и порядок согласования устанавливаются постановлением Администрации города. Соблюдение хозяйствующими субъектами общих требований к месту размещения и внешнему виду некапитальных строений, сооружений, установленных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.ч.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6 - 12 </w:t>
      </w:r>
      <w:r>
        <w:rPr>
          <w:rFonts w:ascii="Times New Roman" w:eastAsia="Times New Roman" w:hAnsi="Times New Roman" w:cs="Times New Roman"/>
          <w:sz w:val="27"/>
          <w:szCs w:val="27"/>
        </w:rPr>
        <w:t>данной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а также приложением 9 к </w:t>
      </w:r>
      <w:r>
        <w:rPr>
          <w:rFonts w:ascii="Times New Roman" w:eastAsia="Times New Roman" w:hAnsi="Times New Roman" w:cs="Times New Roman"/>
          <w:sz w:val="27"/>
          <w:szCs w:val="27"/>
        </w:rPr>
        <w:t>названным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Правилам.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Указанное действе (бездействие) </w:t>
      </w:r>
      <w:r>
        <w:rPr>
          <w:rFonts w:ascii="Times New Roman" w:eastAsia="Times New Roman" w:hAnsi="Times New Roman" w:cs="Times New Roman"/>
          <w:sz w:val="27"/>
          <w:szCs w:val="27"/>
        </w:rPr>
        <w:t>Заманова Х.Т</w:t>
      </w:r>
      <w:r>
        <w:rPr>
          <w:rFonts w:ascii="Times New Roman" w:eastAsia="Times New Roman" w:hAnsi="Times New Roman" w:cs="Times New Roman"/>
          <w:sz w:val="27"/>
          <w:szCs w:val="27"/>
        </w:rPr>
        <w:t>. содержит состав административного правонарушения, предусмотренного ч. 1 ст. 19.5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Заманов Х.Т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его отсутствие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приходит к следующему.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Заманова Х.Т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административным органом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4rplc-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5 ст. 16 Правил благоустройства территории города Сургута, утвержденных решением Думы города от 26.12.2017 года № 206-VI ДГ «О Правилах благоустройства территории города Сургута»,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 Требования к разработке эскизного проекта некапитального строения, сооружения и порядок согласования устанавливаются постановлением Администрации города. Соблюдение хозяйствующими субъектами общих требований к месту размещения и внешнему виду некапитальных строений, сооружений, установленных ч.ч. 6 - 12 данной статьи, а также приложением 9 к Правилам определяется при согласовании эскизного проекта.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ч. 9 ст. 16 Правил благоустройства территории города Сургута, запрещается, в том числе: установка нестационарных торговых объектов, нестационарных объектов оказания бытовых услуг, услуг общественного питания на земельных участках и имуществе, находящихся в государственной или муниципальной собственности на территории муниципального образования, не предусмотренных схемой размещения нестационарных торговых объектов на территории города Сургута и с нарушением требований, установленных муниципальным правовым актом Администрации города, ч.ч. 6 - 12 данной статьи, а также приложением 9 к Правилам; установка некапитальных строений, сооружений без согласования департаментом архитектуры и градостроительства Администрации города эскизного проекта некапитального строения, сооружения (за исключением летних кафе при стационарных предприятиях общественного питания) в порядке, установленном муниципальным правовым актом.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Приведенные выше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26.2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Заманова Х.Т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рассматриваемого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 миро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 квалифицирует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как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 и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7"/>
          <w:szCs w:val="27"/>
        </w:rPr>
        <w:t>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судья, учитывая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привлекаемом к административной ответственности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 считает, что назначение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минимальном, предусмотренном санкцией размере,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соответствует характеру и степени общественной опасности совершенного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 ст. 29.9-29.11 КоАП РФ, мировой судья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Заманова Халига Тофиг оглы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штрафа в размере </w:t>
      </w:r>
      <w:r>
        <w:rPr>
          <w:rStyle w:val="cat-Sumgrp-27rplc-70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Ханты-Мансийского автономного округа-Югры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ХМАО-Югре (Администрация города Сургута л/с 04873031020), ИНН 8602020249, КПП 860201001, Банк получателя: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30rplc-7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ХМАО-Югре г. Ханты-Мансийск, </w:t>
      </w:r>
      <w:r>
        <w:rPr>
          <w:rFonts w:ascii="Times New Roman" w:eastAsia="Times New Roman" w:hAnsi="Times New Roman" w:cs="Times New Roman"/>
          <w:sz w:val="27"/>
          <w:szCs w:val="27"/>
        </w:rPr>
        <w:t>ЕКС 40102810245370000007, КС 03100643000000018700, БИК 007162163, ОКТМО 71876000, КБК 04011601194010000140,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03200631000000000</w:t>
      </w:r>
      <w:r>
        <w:rPr>
          <w:rFonts w:ascii="Times New Roman" w:eastAsia="Times New Roman" w:hAnsi="Times New Roman" w:cs="Times New Roman"/>
          <w:sz w:val="27"/>
          <w:szCs w:val="27"/>
        </w:rPr>
        <w:t>13948033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Сургут, ул. Гагарина, д. 9, каб. 105.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Е.П. Король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</w:t>
      </w:r>
      <w:r>
        <w:rPr>
          <w:rFonts w:ascii="Times New Roman" w:eastAsia="Times New Roman" w:hAnsi="Times New Roman" w:cs="Times New Roman"/>
          <w:sz w:val="20"/>
          <w:szCs w:val="20"/>
        </w:rPr>
        <w:t>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 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196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52143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0rplc-6">
    <w:name w:val="cat-UserDefined grp-40 rplc-6"/>
    <w:basedOn w:val="DefaultParagraphFont"/>
  </w:style>
  <w:style w:type="character" w:customStyle="1" w:styleId="cat-Timegrp-31rplc-15">
    <w:name w:val="cat-Time grp-31 rplc-15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Sumgrp-27rplc-70">
    <w:name w:val="cat-Sum grp-27 rplc-70"/>
    <w:basedOn w:val="DefaultParagraphFont"/>
  </w:style>
  <w:style w:type="character" w:customStyle="1" w:styleId="cat-OrganizationNamegrp-30rplc-74">
    <w:name w:val="cat-OrganizationName grp-30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CD71-FBE4-49B9-B9AD-660E50A2E77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